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4B" w:rsidRPr="008A773A" w:rsidRDefault="002651DE" w:rsidP="00B72450">
      <w:pPr>
        <w:shd w:val="clear" w:color="auto" w:fill="D6E3BC" w:themeFill="accent3" w:themeFillTint="66"/>
        <w:spacing w:after="0" w:line="240" w:lineRule="auto"/>
        <w:jc w:val="center"/>
        <w:rPr>
          <w:b/>
          <w:sz w:val="28"/>
          <w:szCs w:val="28"/>
        </w:rPr>
      </w:pPr>
      <w:bookmarkStart w:id="0" w:name="_GoBack"/>
      <w:bookmarkEnd w:id="0"/>
      <w:r w:rsidRPr="008A773A">
        <w:rPr>
          <w:b/>
          <w:sz w:val="28"/>
          <w:szCs w:val="28"/>
        </w:rPr>
        <w:t>Rekrutteringsplan for stilling som</w:t>
      </w:r>
      <w:proofErr w:type="gramStart"/>
      <w:r w:rsidRPr="008A773A">
        <w:rPr>
          <w:b/>
          <w:sz w:val="28"/>
          <w:szCs w:val="28"/>
        </w:rPr>
        <w:t xml:space="preserve"> ….</w:t>
      </w:r>
      <w:proofErr w:type="gramEnd"/>
      <w:r w:rsidRPr="008A773A">
        <w:rPr>
          <w:b/>
          <w:sz w:val="28"/>
          <w:szCs w:val="28"/>
        </w:rPr>
        <w:t>, tilknyttet prosjektet …. (eventuelt GB)</w:t>
      </w:r>
    </w:p>
    <w:p w:rsidR="00993ADB" w:rsidRPr="008A773A" w:rsidRDefault="00993ADB" w:rsidP="00993ADB">
      <w:pPr>
        <w:spacing w:after="0" w:line="240" w:lineRule="auto"/>
        <w:jc w:val="center"/>
      </w:pPr>
    </w:p>
    <w:p w:rsidR="002651DE" w:rsidRPr="008A773A" w:rsidRDefault="002651DE" w:rsidP="002651DE">
      <w:pPr>
        <w:spacing w:after="0" w:line="240" w:lineRule="auto"/>
      </w:pPr>
      <w:r w:rsidRPr="008A773A">
        <w:rPr>
          <w:b/>
        </w:rPr>
        <w:t>Det er i hovedsak to formål med rekrutteringsplanmøte</w:t>
      </w:r>
      <w:r w:rsidRPr="008A773A">
        <w:t>:</w:t>
      </w:r>
    </w:p>
    <w:p w:rsidR="002651DE" w:rsidRPr="008A773A" w:rsidRDefault="00D16BA8" w:rsidP="002651DE">
      <w:pPr>
        <w:pStyle w:val="ListParagraph"/>
        <w:numPr>
          <w:ilvl w:val="0"/>
          <w:numId w:val="9"/>
        </w:numPr>
        <w:spacing w:after="0" w:line="240" w:lineRule="auto"/>
      </w:pPr>
      <w:r w:rsidRPr="008A773A">
        <w:t>A</w:t>
      </w:r>
      <w:r w:rsidR="002651DE" w:rsidRPr="008A773A">
        <w:t>vklar</w:t>
      </w:r>
      <w:r w:rsidR="004F5561" w:rsidRPr="008A773A">
        <w:t xml:space="preserve">e </w:t>
      </w:r>
      <w:r w:rsidR="002651DE" w:rsidRPr="008A773A">
        <w:t xml:space="preserve">når det er </w:t>
      </w:r>
      <w:r w:rsidR="002651DE" w:rsidRPr="008A773A">
        <w:rPr>
          <w:i/>
        </w:rPr>
        <w:t>ønskelig</w:t>
      </w:r>
      <w:r w:rsidR="002651DE" w:rsidRPr="008A773A">
        <w:t xml:space="preserve"> at den nye medarbeideren starter i stillingen, </w:t>
      </w:r>
      <w:r w:rsidRPr="008A773A">
        <w:t>og utvikling av e</w:t>
      </w:r>
      <w:r w:rsidR="002651DE" w:rsidRPr="008A773A">
        <w:t xml:space="preserve">n realistisk plan for </w:t>
      </w:r>
      <w:r w:rsidRPr="008A773A">
        <w:t>å</w:t>
      </w:r>
      <w:r w:rsidR="002651DE" w:rsidRPr="008A773A">
        <w:t xml:space="preserve"> nå det målet.</w:t>
      </w:r>
    </w:p>
    <w:p w:rsidR="002651DE" w:rsidRPr="008A773A" w:rsidRDefault="002651DE" w:rsidP="002651DE">
      <w:pPr>
        <w:pStyle w:val="ListParagraph"/>
        <w:numPr>
          <w:ilvl w:val="0"/>
          <w:numId w:val="9"/>
        </w:numPr>
        <w:spacing w:after="0" w:line="240" w:lineRule="auto"/>
      </w:pPr>
      <w:r w:rsidRPr="008A773A">
        <w:t xml:space="preserve">Å avklare viktige formelle muligheter/begrensninger </w:t>
      </w:r>
      <w:r w:rsidR="00D16BA8" w:rsidRPr="008A773A">
        <w:t xml:space="preserve">innenfor hver del av prosessen (utlysning, sakkyndig vurdering, intervjuer, innstilling) </w:t>
      </w:r>
      <w:r w:rsidRPr="008A773A">
        <w:t>med prosjektleder, slik at man minimerer risikoen</w:t>
      </w:r>
      <w:r w:rsidR="00D16BA8" w:rsidRPr="008A773A">
        <w:t xml:space="preserve"> for forsinkelser og feil i saksbehandlingen.</w:t>
      </w:r>
      <w:r w:rsidRPr="008A773A">
        <w:t xml:space="preserve">  </w:t>
      </w:r>
    </w:p>
    <w:p w:rsidR="00D16BA8" w:rsidRPr="008A773A" w:rsidRDefault="00D16BA8" w:rsidP="00D16BA8">
      <w:pPr>
        <w:spacing w:after="0" w:line="240" w:lineRule="auto"/>
      </w:pPr>
    </w:p>
    <w:p w:rsidR="00D16BA8" w:rsidRPr="008A773A" w:rsidRDefault="00D16BA8" w:rsidP="00D16BA8">
      <w:pPr>
        <w:spacing w:after="0" w:line="240" w:lineRule="auto"/>
      </w:pPr>
      <w:r w:rsidRPr="008A773A">
        <w:t>De viktigste verktøyene i dette møtet er maler og retningslinjer som er relevante for stillingen. Malene inneholder sammen med utlysningstekst i stor grad informasjonen som er nødvendig for å kunne gjennomføre sakkyndige</w:t>
      </w:r>
      <w:r w:rsidR="00FB23CD" w:rsidRPr="008A773A">
        <w:t xml:space="preserve"> evalueringer</w:t>
      </w:r>
      <w:r w:rsidRPr="008A773A">
        <w:t xml:space="preserve">, </w:t>
      </w:r>
      <w:r w:rsidR="00FB23CD" w:rsidRPr="008A773A">
        <w:t xml:space="preserve">og </w:t>
      </w:r>
      <w:r w:rsidRPr="008A773A">
        <w:t>intervjuer, men dette avhenger av at informasjonen faktisk blir lest. Enkelte elementer</w:t>
      </w:r>
      <w:r w:rsidR="00FB23CD" w:rsidRPr="008A773A">
        <w:t xml:space="preserve"> er</w:t>
      </w:r>
      <w:r w:rsidRPr="008A773A">
        <w:t xml:space="preserve"> spesielt viktige å fokusere på:</w:t>
      </w:r>
    </w:p>
    <w:p w:rsidR="00D16BA8" w:rsidRPr="008A773A" w:rsidRDefault="00D16BA8" w:rsidP="00D16BA8">
      <w:pPr>
        <w:spacing w:after="0" w:line="240" w:lineRule="auto"/>
      </w:pPr>
    </w:p>
    <w:p w:rsidR="00D16BA8" w:rsidRPr="008A773A" w:rsidRDefault="00D16BA8" w:rsidP="00D16BA8">
      <w:pPr>
        <w:spacing w:after="0" w:line="240" w:lineRule="auto"/>
        <w:ind w:firstLine="708"/>
        <w:rPr>
          <w:b/>
        </w:rPr>
      </w:pPr>
      <w:r w:rsidRPr="008A773A">
        <w:rPr>
          <w:b/>
        </w:rPr>
        <w:t>Utlysningstekst</w:t>
      </w:r>
    </w:p>
    <w:p w:rsidR="00C731CF" w:rsidRPr="008A773A" w:rsidRDefault="00D16BA8" w:rsidP="00D16BA8">
      <w:pPr>
        <w:pStyle w:val="ListParagraph"/>
        <w:numPr>
          <w:ilvl w:val="0"/>
          <w:numId w:val="10"/>
        </w:numPr>
        <w:spacing w:after="0" w:line="240" w:lineRule="auto"/>
      </w:pPr>
      <w:r w:rsidRPr="008A773A">
        <w:t xml:space="preserve">Riktige krav – med tanke på at de fleste utlysningstekstene </w:t>
      </w:r>
      <w:r w:rsidR="00C731CF" w:rsidRPr="008A773A">
        <w:t>tilbyr flere alternativer til hvordan kravene stilles, må prosjektleder være oppmerksom på hvordan kravene kan begrense eller utvide både tilgangen på kandidater, og den videre prosessen</w:t>
      </w:r>
    </w:p>
    <w:p w:rsidR="00D16BA8" w:rsidRPr="008A773A" w:rsidRDefault="00C731CF" w:rsidP="00D16BA8">
      <w:pPr>
        <w:pStyle w:val="ListParagraph"/>
        <w:numPr>
          <w:ilvl w:val="0"/>
          <w:numId w:val="10"/>
        </w:numPr>
        <w:spacing w:after="0" w:line="240" w:lineRule="auto"/>
      </w:pPr>
      <w:r w:rsidRPr="008A773A">
        <w:t>Frister i forhold til oppnådde krav – søknadsfrister kan (innen rimelighetens grenser) utvides og flere kandidater inviteres, men når evalueringen har startet er det kvalifikasjonene ved fristene som skal være nådd. Hvis kravet er at mastergraden skal oppnådd innen 1. september, vil en kandidat som fullfører 5. september ikke kunne vurderes kvalifisert for stillingen</w:t>
      </w:r>
    </w:p>
    <w:p w:rsidR="00A22C37" w:rsidRPr="008A773A" w:rsidRDefault="00A22C37" w:rsidP="00A22C37">
      <w:pPr>
        <w:spacing w:after="0" w:line="240" w:lineRule="auto"/>
      </w:pPr>
    </w:p>
    <w:p w:rsidR="00A22C37" w:rsidRPr="008A773A" w:rsidRDefault="00A22C37" w:rsidP="00A22C37">
      <w:pPr>
        <w:spacing w:after="0" w:line="240" w:lineRule="auto"/>
        <w:ind w:left="708"/>
        <w:rPr>
          <w:b/>
        </w:rPr>
      </w:pPr>
      <w:r w:rsidRPr="008A773A">
        <w:rPr>
          <w:b/>
        </w:rPr>
        <w:t>Sakkyndigkomité</w:t>
      </w:r>
      <w:r w:rsidR="00B362A6" w:rsidRPr="008A773A">
        <w:rPr>
          <w:b/>
        </w:rPr>
        <w:t xml:space="preserve"> – professor, førsteamanuensis- og forskerstillinger</w:t>
      </w:r>
    </w:p>
    <w:p w:rsidR="00350ABD" w:rsidRPr="008A773A" w:rsidRDefault="00350ABD" w:rsidP="00A22C37">
      <w:pPr>
        <w:pStyle w:val="ListParagraph"/>
        <w:numPr>
          <w:ilvl w:val="0"/>
          <w:numId w:val="11"/>
        </w:numPr>
        <w:spacing w:after="0" w:line="240" w:lineRule="auto"/>
        <w:rPr>
          <w:b/>
        </w:rPr>
      </w:pPr>
      <w:r w:rsidRPr="008A773A">
        <w:t>Habilitet må vurderes for komitemedlemmene</w:t>
      </w:r>
    </w:p>
    <w:p w:rsidR="00A22C37" w:rsidRPr="008A773A" w:rsidRDefault="00A22C37" w:rsidP="00A22C37">
      <w:pPr>
        <w:pStyle w:val="ListParagraph"/>
        <w:numPr>
          <w:ilvl w:val="0"/>
          <w:numId w:val="11"/>
        </w:numPr>
        <w:spacing w:after="0" w:line="240" w:lineRule="auto"/>
        <w:rPr>
          <w:b/>
        </w:rPr>
      </w:pPr>
      <w:r w:rsidRPr="008A773A">
        <w:t>De best kvalifiserte søkerne skal rangeres.</w:t>
      </w:r>
    </w:p>
    <w:p w:rsidR="00A22C37" w:rsidRPr="008A773A" w:rsidRDefault="00A22C37" w:rsidP="00A22C37">
      <w:pPr>
        <w:pStyle w:val="ListParagraph"/>
        <w:numPr>
          <w:ilvl w:val="0"/>
          <w:numId w:val="11"/>
        </w:numPr>
        <w:spacing w:after="0" w:line="240" w:lineRule="auto"/>
        <w:rPr>
          <w:b/>
        </w:rPr>
      </w:pPr>
      <w:r w:rsidRPr="008A773A">
        <w:t xml:space="preserve">Det må begrunnes hvorfor hver enkelt søker ikke er vurdert kvalifisert for stillingen (gjelder </w:t>
      </w:r>
      <w:r w:rsidR="008A773A">
        <w:t>ikk</w:t>
      </w:r>
      <w:r w:rsidRPr="008A773A">
        <w:t>e gruppe 1 i mal)</w:t>
      </w:r>
    </w:p>
    <w:p w:rsidR="00A22C37" w:rsidRPr="008A773A" w:rsidRDefault="00A22C37" w:rsidP="00A22C37">
      <w:pPr>
        <w:spacing w:after="0" w:line="240" w:lineRule="auto"/>
        <w:rPr>
          <w:b/>
        </w:rPr>
      </w:pPr>
    </w:p>
    <w:p w:rsidR="00A22C37" w:rsidRPr="008A773A" w:rsidRDefault="00A22C37" w:rsidP="00A22C37">
      <w:pPr>
        <w:spacing w:after="0" w:line="240" w:lineRule="auto"/>
        <w:ind w:left="708"/>
        <w:rPr>
          <w:b/>
        </w:rPr>
      </w:pPr>
      <w:r w:rsidRPr="008A773A">
        <w:rPr>
          <w:b/>
        </w:rPr>
        <w:t>Vurderingskomité</w:t>
      </w:r>
      <w:r w:rsidR="00B362A6" w:rsidRPr="008A773A">
        <w:rPr>
          <w:b/>
        </w:rPr>
        <w:t xml:space="preserve"> – stipendiat- og postdoktorstillinger</w:t>
      </w:r>
    </w:p>
    <w:p w:rsidR="00350ABD" w:rsidRPr="008A773A" w:rsidRDefault="00350ABD" w:rsidP="00A22C37">
      <w:pPr>
        <w:pStyle w:val="ListParagraph"/>
        <w:numPr>
          <w:ilvl w:val="0"/>
          <w:numId w:val="12"/>
        </w:numPr>
        <w:spacing w:after="0" w:line="240" w:lineRule="auto"/>
      </w:pPr>
      <w:r w:rsidRPr="008A773A">
        <w:t>Habilitet må vurderes for komitemedlemmene</w:t>
      </w:r>
    </w:p>
    <w:p w:rsidR="002651DE" w:rsidRPr="008A773A" w:rsidRDefault="00A22C37" w:rsidP="00B362A6">
      <w:pPr>
        <w:pStyle w:val="ListParagraph"/>
        <w:numPr>
          <w:ilvl w:val="0"/>
          <w:numId w:val="12"/>
        </w:numPr>
        <w:spacing w:after="0" w:line="240" w:lineRule="auto"/>
      </w:pPr>
      <w:r w:rsidRPr="008A773A">
        <w:t>For stipendiatstillinger skal kandidatene være validert før innkalling til intervju</w:t>
      </w:r>
    </w:p>
    <w:p w:rsidR="00B362A6" w:rsidRPr="008A773A" w:rsidRDefault="00B362A6" w:rsidP="00B362A6">
      <w:pPr>
        <w:pStyle w:val="ListParagraph"/>
        <w:numPr>
          <w:ilvl w:val="0"/>
          <w:numId w:val="12"/>
        </w:numPr>
        <w:spacing w:after="0" w:line="240" w:lineRule="auto"/>
      </w:pPr>
      <w:r w:rsidRPr="008A773A">
        <w:t>De best kvalifiserte søkerne skal rangeres</w:t>
      </w:r>
    </w:p>
    <w:p w:rsidR="00B362A6" w:rsidRPr="008A773A" w:rsidRDefault="00B362A6" w:rsidP="00B362A6">
      <w:pPr>
        <w:spacing w:after="0" w:line="240" w:lineRule="auto"/>
      </w:pPr>
    </w:p>
    <w:p w:rsidR="00FB23CD" w:rsidRPr="008A773A" w:rsidRDefault="00FB23CD" w:rsidP="00FB23CD">
      <w:pPr>
        <w:spacing w:after="0" w:line="240" w:lineRule="auto"/>
        <w:ind w:left="708"/>
        <w:rPr>
          <w:b/>
        </w:rPr>
      </w:pPr>
      <w:r w:rsidRPr="008A773A">
        <w:rPr>
          <w:b/>
        </w:rPr>
        <w:t>Intervjugruppe</w:t>
      </w:r>
    </w:p>
    <w:p w:rsidR="00FB23CD" w:rsidRPr="008A773A" w:rsidRDefault="00FB23CD" w:rsidP="00FB23CD">
      <w:pPr>
        <w:pStyle w:val="ListParagraph"/>
        <w:numPr>
          <w:ilvl w:val="0"/>
          <w:numId w:val="13"/>
        </w:numPr>
        <w:spacing w:after="0" w:line="240" w:lineRule="auto"/>
      </w:pPr>
      <w:r w:rsidRPr="008A773A">
        <w:t>Habilitet skal vurderes på lik linje med for sakkyndigkomiteer og vurderingskomiteer</w:t>
      </w:r>
    </w:p>
    <w:p w:rsidR="00FB23CD" w:rsidRPr="008A773A" w:rsidRDefault="00FB23CD" w:rsidP="00FB23CD">
      <w:pPr>
        <w:pStyle w:val="ListParagraph"/>
        <w:numPr>
          <w:ilvl w:val="0"/>
          <w:numId w:val="13"/>
        </w:numPr>
        <w:spacing w:after="0" w:line="240" w:lineRule="auto"/>
      </w:pPr>
      <w:r w:rsidRPr="008A773A">
        <w:t>Vær obs sammensetning av intervjugruppe, og om det eventuelt er åpning for at medlemmer fra sakkyndigkomite kan delta</w:t>
      </w:r>
      <w:r w:rsidR="008A773A">
        <w:t xml:space="preserve"> (forskerstill</w:t>
      </w:r>
      <w:r w:rsidRPr="008A773A">
        <w:t>inger)</w:t>
      </w:r>
    </w:p>
    <w:p w:rsidR="00FB23CD" w:rsidRPr="008A773A" w:rsidRDefault="00FB23CD" w:rsidP="00FB23CD">
      <w:pPr>
        <w:pStyle w:val="ListParagraph"/>
        <w:numPr>
          <w:ilvl w:val="0"/>
          <w:numId w:val="13"/>
        </w:numPr>
        <w:spacing w:after="0" w:line="240" w:lineRule="auto"/>
      </w:pPr>
      <w:r w:rsidRPr="008A773A">
        <w:t>Intervjugruppen skriver et notat som oppsummerer inntrykkene av kandi</w:t>
      </w:r>
      <w:r w:rsidR="008A773A">
        <w:t>d</w:t>
      </w:r>
      <w:r w:rsidRPr="008A773A">
        <w:t xml:space="preserve">atene, og er også ansvarlig for innhenting av referanser.  </w:t>
      </w:r>
    </w:p>
    <w:p w:rsidR="00FB23CD" w:rsidRPr="008A773A" w:rsidRDefault="00FB23CD" w:rsidP="00B362A6">
      <w:pPr>
        <w:spacing w:after="0" w:line="240" w:lineRule="auto"/>
      </w:pPr>
    </w:p>
    <w:p w:rsidR="004F5561" w:rsidRPr="008A773A" w:rsidRDefault="004F5561" w:rsidP="00B362A6">
      <w:pPr>
        <w:spacing w:after="0" w:line="240" w:lineRule="auto"/>
      </w:pPr>
      <w:r w:rsidRPr="008A773A">
        <w:t xml:space="preserve">Generelt kan ikke viktigheten av å ha en god dialog i løpet av hele prosessen understrekes nok. Hvis det er uklarheter bør prosjektleder/komiteleder kontakte primærkontakt for å få nødvendige avklaringer. Det er mange grep som kan tas </w:t>
      </w:r>
      <w:r w:rsidRPr="008A773A">
        <w:rPr>
          <w:i/>
        </w:rPr>
        <w:t>i løpet</w:t>
      </w:r>
      <w:r w:rsidRPr="008A773A">
        <w:t xml:space="preserve"> av en prosess, de mulighetene er ofte ikke lenger til stede når prosessen er fullført.</w:t>
      </w:r>
    </w:p>
    <w:p w:rsidR="00B362A6" w:rsidRPr="008A773A" w:rsidRDefault="00B362A6" w:rsidP="004F5561">
      <w:pPr>
        <w:spacing w:after="0" w:line="240" w:lineRule="auto"/>
      </w:pPr>
    </w:p>
    <w:p w:rsidR="00B362A6" w:rsidRPr="008A773A" w:rsidRDefault="00B362A6" w:rsidP="00993ADB">
      <w:pPr>
        <w:spacing w:after="0" w:line="240" w:lineRule="auto"/>
        <w:jc w:val="center"/>
      </w:pPr>
    </w:p>
    <w:p w:rsidR="00FB23CD" w:rsidRPr="008A773A" w:rsidRDefault="00FB23CD" w:rsidP="00B362A6">
      <w:pPr>
        <w:spacing w:after="0" w:line="240" w:lineRule="auto"/>
      </w:pPr>
      <w:r w:rsidRPr="008A773A">
        <w:t xml:space="preserve">Det er mange usikre elementer rundt vurdering av </w:t>
      </w:r>
      <w:r w:rsidRPr="008A773A">
        <w:rPr>
          <w:i/>
        </w:rPr>
        <w:t>når</w:t>
      </w:r>
      <w:r w:rsidRPr="008A773A">
        <w:t xml:space="preserve"> hver del av en rekrutteringsprosess kan gjennomføres, men å sette opp en plan med tentative datoer kan være </w:t>
      </w:r>
      <w:r w:rsidR="008A773A" w:rsidRPr="008A773A">
        <w:t>en god pekepinn frem mot en ønsket ansettelsesdato. Det kan også bidra til å gi et realistisk overblikk over hva som vil være mulig å få til.</w:t>
      </w:r>
    </w:p>
    <w:p w:rsidR="00FB23CD" w:rsidRPr="008A773A" w:rsidRDefault="00FB23CD" w:rsidP="00B362A6">
      <w:pPr>
        <w:spacing w:after="0" w:line="240" w:lineRule="auto"/>
        <w:rPr>
          <w:b/>
          <w:sz w:val="28"/>
          <w:szCs w:val="28"/>
        </w:rPr>
      </w:pPr>
    </w:p>
    <w:p w:rsidR="00B362A6" w:rsidRPr="008A773A" w:rsidRDefault="00B362A6" w:rsidP="00B362A6">
      <w:pPr>
        <w:spacing w:after="0" w:line="240" w:lineRule="auto"/>
        <w:rPr>
          <w:b/>
          <w:sz w:val="28"/>
          <w:szCs w:val="28"/>
        </w:rPr>
      </w:pPr>
      <w:r w:rsidRPr="008A773A">
        <w:rPr>
          <w:b/>
          <w:sz w:val="28"/>
          <w:szCs w:val="28"/>
        </w:rPr>
        <w:t xml:space="preserve">Plan for rekruttering </w:t>
      </w:r>
    </w:p>
    <w:tbl>
      <w:tblPr>
        <w:tblStyle w:val="TableGrid"/>
        <w:tblW w:w="15303" w:type="dxa"/>
        <w:tblLayout w:type="fixed"/>
        <w:tblLook w:val="04A0" w:firstRow="1" w:lastRow="0" w:firstColumn="1" w:lastColumn="0" w:noHBand="0" w:noVBand="1"/>
      </w:tblPr>
      <w:tblGrid>
        <w:gridCol w:w="1413"/>
        <w:gridCol w:w="1417"/>
        <w:gridCol w:w="1418"/>
        <w:gridCol w:w="2126"/>
        <w:gridCol w:w="1985"/>
        <w:gridCol w:w="1134"/>
        <w:gridCol w:w="1275"/>
        <w:gridCol w:w="1418"/>
        <w:gridCol w:w="1276"/>
        <w:gridCol w:w="1841"/>
      </w:tblGrid>
      <w:tr w:rsidR="00180D28" w:rsidRPr="008A773A" w:rsidTr="004F5D4D">
        <w:trPr>
          <w:trHeight w:val="749"/>
          <w:tblHeader/>
        </w:trPr>
        <w:tc>
          <w:tcPr>
            <w:tcW w:w="1413" w:type="dxa"/>
            <w:shd w:val="clear" w:color="auto" w:fill="F2F2F2" w:themeFill="background1" w:themeFillShade="F2"/>
          </w:tcPr>
          <w:p w:rsidR="00180D28" w:rsidRPr="008A773A" w:rsidRDefault="00180D28" w:rsidP="00556893">
            <w:pPr>
              <w:rPr>
                <w:b/>
              </w:rPr>
            </w:pPr>
          </w:p>
        </w:tc>
        <w:tc>
          <w:tcPr>
            <w:tcW w:w="1417" w:type="dxa"/>
            <w:shd w:val="clear" w:color="auto" w:fill="F2F2F2" w:themeFill="background1" w:themeFillShade="F2"/>
          </w:tcPr>
          <w:p w:rsidR="00180D28" w:rsidRPr="008A773A" w:rsidRDefault="00180D28" w:rsidP="00556893">
            <w:pPr>
              <w:rPr>
                <w:b/>
              </w:rPr>
            </w:pPr>
            <w:r w:rsidRPr="008A773A">
              <w:rPr>
                <w:b/>
              </w:rPr>
              <w:t>Utlysning</w:t>
            </w:r>
          </w:p>
        </w:tc>
        <w:tc>
          <w:tcPr>
            <w:tcW w:w="1418" w:type="dxa"/>
            <w:shd w:val="clear" w:color="auto" w:fill="F2F2F2" w:themeFill="background1" w:themeFillShade="F2"/>
          </w:tcPr>
          <w:p w:rsidR="00180D28" w:rsidRPr="008A773A" w:rsidRDefault="00180D28" w:rsidP="00556893">
            <w:pPr>
              <w:rPr>
                <w:b/>
              </w:rPr>
            </w:pPr>
            <w:r w:rsidRPr="008A773A">
              <w:rPr>
                <w:b/>
              </w:rPr>
              <w:t>Søknadsfrist</w:t>
            </w:r>
          </w:p>
        </w:tc>
        <w:tc>
          <w:tcPr>
            <w:tcW w:w="2126" w:type="dxa"/>
            <w:shd w:val="clear" w:color="auto" w:fill="F2F2F2" w:themeFill="background1" w:themeFillShade="F2"/>
          </w:tcPr>
          <w:p w:rsidR="00180D28" w:rsidRPr="008A773A" w:rsidRDefault="00180D28" w:rsidP="00556893">
            <w:pPr>
              <w:rPr>
                <w:b/>
              </w:rPr>
            </w:pPr>
            <w:r w:rsidRPr="008A773A">
              <w:rPr>
                <w:b/>
              </w:rPr>
              <w:t>Nedsette sakkyndigkomite/</w:t>
            </w:r>
          </w:p>
          <w:p w:rsidR="00180D28" w:rsidRPr="008A773A" w:rsidRDefault="00180D28" w:rsidP="00556893">
            <w:pPr>
              <w:rPr>
                <w:b/>
              </w:rPr>
            </w:pPr>
            <w:r w:rsidRPr="008A773A">
              <w:rPr>
                <w:b/>
              </w:rPr>
              <w:t>vurderingskomite</w:t>
            </w:r>
          </w:p>
        </w:tc>
        <w:tc>
          <w:tcPr>
            <w:tcW w:w="1985" w:type="dxa"/>
            <w:shd w:val="clear" w:color="auto" w:fill="F2F2F2" w:themeFill="background1" w:themeFillShade="F2"/>
          </w:tcPr>
          <w:p w:rsidR="00180D28" w:rsidRPr="008A773A" w:rsidRDefault="00180D28" w:rsidP="00556893">
            <w:pPr>
              <w:rPr>
                <w:b/>
              </w:rPr>
            </w:pPr>
            <w:r w:rsidRPr="008A773A">
              <w:rPr>
                <w:b/>
              </w:rPr>
              <w:t>Forventet sakkyndigrapport/ eventuelt vurderingsrapport</w:t>
            </w:r>
          </w:p>
        </w:tc>
        <w:tc>
          <w:tcPr>
            <w:tcW w:w="1134" w:type="dxa"/>
            <w:shd w:val="clear" w:color="auto" w:fill="F2F2F2" w:themeFill="background1" w:themeFillShade="F2"/>
          </w:tcPr>
          <w:p w:rsidR="00180D28" w:rsidRPr="008A773A" w:rsidRDefault="00180D28" w:rsidP="00556893">
            <w:pPr>
              <w:rPr>
                <w:b/>
                <w:i/>
              </w:rPr>
            </w:pPr>
            <w:r w:rsidRPr="008A773A">
              <w:rPr>
                <w:b/>
                <w:i/>
              </w:rPr>
              <w:t>Før intervjuer</w:t>
            </w:r>
          </w:p>
        </w:tc>
        <w:tc>
          <w:tcPr>
            <w:tcW w:w="1275" w:type="dxa"/>
            <w:shd w:val="clear" w:color="auto" w:fill="F2F2F2" w:themeFill="background1" w:themeFillShade="F2"/>
          </w:tcPr>
          <w:p w:rsidR="00180D28" w:rsidRPr="008A773A" w:rsidRDefault="00B362A6" w:rsidP="00556893">
            <w:pPr>
              <w:rPr>
                <w:b/>
              </w:rPr>
            </w:pPr>
            <w:r w:rsidRPr="008A773A">
              <w:rPr>
                <w:b/>
              </w:rPr>
              <w:t>Endelig innstilling</w:t>
            </w:r>
          </w:p>
        </w:tc>
        <w:tc>
          <w:tcPr>
            <w:tcW w:w="1418" w:type="dxa"/>
            <w:shd w:val="clear" w:color="auto" w:fill="F2F2F2" w:themeFill="background1" w:themeFillShade="F2"/>
          </w:tcPr>
          <w:p w:rsidR="00180D28" w:rsidRPr="008A773A" w:rsidRDefault="00B362A6" w:rsidP="00556893">
            <w:pPr>
              <w:rPr>
                <w:b/>
              </w:rPr>
            </w:pPr>
            <w:r w:rsidRPr="008A773A">
              <w:rPr>
                <w:b/>
              </w:rPr>
              <w:t>Ønsket dato for vedtak i Ansettelses-utvalg</w:t>
            </w:r>
          </w:p>
        </w:tc>
        <w:tc>
          <w:tcPr>
            <w:tcW w:w="1276" w:type="dxa"/>
            <w:shd w:val="clear" w:color="auto" w:fill="F2F2F2" w:themeFill="background1" w:themeFillShade="F2"/>
          </w:tcPr>
          <w:p w:rsidR="00180D28" w:rsidRPr="008A773A" w:rsidRDefault="00B362A6" w:rsidP="00556893">
            <w:pPr>
              <w:rPr>
                <w:b/>
              </w:rPr>
            </w:pPr>
            <w:r w:rsidRPr="008A773A">
              <w:rPr>
                <w:b/>
              </w:rPr>
              <w:t>Ønsket tiltredelses-dato</w:t>
            </w:r>
          </w:p>
        </w:tc>
        <w:tc>
          <w:tcPr>
            <w:tcW w:w="1841" w:type="dxa"/>
            <w:shd w:val="clear" w:color="auto" w:fill="F2F2F2" w:themeFill="background1" w:themeFillShade="F2"/>
          </w:tcPr>
          <w:p w:rsidR="00180D28" w:rsidRPr="008A773A" w:rsidRDefault="00B362A6" w:rsidP="00556893">
            <w:pPr>
              <w:rPr>
                <w:b/>
              </w:rPr>
            </w:pPr>
            <w:r w:rsidRPr="008A773A">
              <w:rPr>
                <w:b/>
              </w:rPr>
              <w:t>Eventuelle kommentarer</w:t>
            </w:r>
          </w:p>
        </w:tc>
      </w:tr>
      <w:tr w:rsidR="00B362A6" w:rsidRPr="008A773A" w:rsidTr="004F5D4D">
        <w:trPr>
          <w:trHeight w:val="561"/>
        </w:trPr>
        <w:tc>
          <w:tcPr>
            <w:tcW w:w="1413" w:type="dxa"/>
            <w:shd w:val="clear" w:color="auto" w:fill="F2F2F2" w:themeFill="background1" w:themeFillShade="F2"/>
          </w:tcPr>
          <w:p w:rsidR="00B362A6" w:rsidRPr="008A773A" w:rsidRDefault="00A413C0" w:rsidP="00556893">
            <w:pPr>
              <w:rPr>
                <w:b/>
              </w:rPr>
            </w:pPr>
            <w:r>
              <w:rPr>
                <w:b/>
              </w:rPr>
              <w:t>Uke</w:t>
            </w:r>
          </w:p>
        </w:tc>
        <w:tc>
          <w:tcPr>
            <w:tcW w:w="1417" w:type="dxa"/>
          </w:tcPr>
          <w:p w:rsidR="00B362A6" w:rsidRPr="008A773A" w:rsidRDefault="00B362A6" w:rsidP="00376C39">
            <w:pPr>
              <w:rPr>
                <w:b/>
              </w:rPr>
            </w:pPr>
          </w:p>
        </w:tc>
        <w:tc>
          <w:tcPr>
            <w:tcW w:w="1418" w:type="dxa"/>
            <w:tcBorders>
              <w:bottom w:val="single" w:sz="4" w:space="0" w:color="auto"/>
            </w:tcBorders>
          </w:tcPr>
          <w:p w:rsidR="00B362A6" w:rsidRPr="008A773A" w:rsidRDefault="00B362A6" w:rsidP="001A3469">
            <w:pPr>
              <w:rPr>
                <w:u w:val="single"/>
              </w:rPr>
            </w:pPr>
          </w:p>
          <w:p w:rsidR="00B362A6" w:rsidRPr="008A773A" w:rsidRDefault="00B362A6" w:rsidP="00556893"/>
          <w:p w:rsidR="00B362A6" w:rsidRPr="008A773A" w:rsidRDefault="00B362A6" w:rsidP="00556893"/>
        </w:tc>
        <w:tc>
          <w:tcPr>
            <w:tcW w:w="2126" w:type="dxa"/>
            <w:tcBorders>
              <w:bottom w:val="single" w:sz="4" w:space="0" w:color="auto"/>
            </w:tcBorders>
          </w:tcPr>
          <w:p w:rsidR="00B362A6" w:rsidRPr="008A773A" w:rsidRDefault="00B362A6" w:rsidP="001738BC">
            <w:pPr>
              <w:rPr>
                <w:b/>
              </w:rPr>
            </w:pPr>
          </w:p>
        </w:tc>
        <w:tc>
          <w:tcPr>
            <w:tcW w:w="1985" w:type="dxa"/>
            <w:tcBorders>
              <w:bottom w:val="single" w:sz="4" w:space="0" w:color="auto"/>
            </w:tcBorders>
          </w:tcPr>
          <w:p w:rsidR="00B362A6" w:rsidRPr="008A773A" w:rsidRDefault="00B362A6" w:rsidP="001738BC">
            <w:pPr>
              <w:rPr>
                <w:b/>
              </w:rPr>
            </w:pPr>
          </w:p>
        </w:tc>
        <w:tc>
          <w:tcPr>
            <w:tcW w:w="1134" w:type="dxa"/>
            <w:tcBorders>
              <w:bottom w:val="single" w:sz="4" w:space="0" w:color="auto"/>
            </w:tcBorders>
          </w:tcPr>
          <w:p w:rsidR="00B362A6" w:rsidRPr="008A773A" w:rsidRDefault="00B362A6" w:rsidP="001738BC">
            <w:pPr>
              <w:rPr>
                <w:b/>
                <w:i/>
              </w:rPr>
            </w:pPr>
          </w:p>
        </w:tc>
        <w:tc>
          <w:tcPr>
            <w:tcW w:w="1275" w:type="dxa"/>
            <w:tcBorders>
              <w:bottom w:val="single" w:sz="4" w:space="0" w:color="auto"/>
            </w:tcBorders>
          </w:tcPr>
          <w:p w:rsidR="00B362A6" w:rsidRPr="008A773A" w:rsidRDefault="00B362A6" w:rsidP="001738BC">
            <w:pPr>
              <w:rPr>
                <w:b/>
              </w:rPr>
            </w:pPr>
          </w:p>
        </w:tc>
        <w:tc>
          <w:tcPr>
            <w:tcW w:w="1418" w:type="dxa"/>
            <w:tcBorders>
              <w:bottom w:val="single" w:sz="4" w:space="0" w:color="auto"/>
            </w:tcBorders>
          </w:tcPr>
          <w:p w:rsidR="00B362A6" w:rsidRPr="008A773A" w:rsidRDefault="00B362A6" w:rsidP="001738BC">
            <w:pPr>
              <w:rPr>
                <w:b/>
              </w:rPr>
            </w:pPr>
          </w:p>
        </w:tc>
        <w:tc>
          <w:tcPr>
            <w:tcW w:w="1276" w:type="dxa"/>
            <w:tcBorders>
              <w:bottom w:val="single" w:sz="4" w:space="0" w:color="auto"/>
            </w:tcBorders>
          </w:tcPr>
          <w:p w:rsidR="00B362A6" w:rsidRPr="008A773A" w:rsidRDefault="00B362A6" w:rsidP="001738BC">
            <w:pPr>
              <w:rPr>
                <w:b/>
              </w:rPr>
            </w:pPr>
          </w:p>
        </w:tc>
        <w:tc>
          <w:tcPr>
            <w:tcW w:w="1841" w:type="dxa"/>
            <w:vMerge w:val="restart"/>
          </w:tcPr>
          <w:p w:rsidR="00B362A6" w:rsidRPr="008A773A" w:rsidRDefault="00B362A6" w:rsidP="001738BC">
            <w:pPr>
              <w:rPr>
                <w:b/>
              </w:rPr>
            </w:pPr>
          </w:p>
          <w:p w:rsidR="00B362A6" w:rsidRPr="008A773A" w:rsidRDefault="00B362A6" w:rsidP="001738BC">
            <w:pPr>
              <w:rPr>
                <w:b/>
              </w:rPr>
            </w:pPr>
          </w:p>
          <w:p w:rsidR="00B362A6" w:rsidRPr="008A773A" w:rsidRDefault="00B362A6" w:rsidP="001738BC">
            <w:pPr>
              <w:rPr>
                <w:b/>
              </w:rPr>
            </w:pPr>
          </w:p>
          <w:p w:rsidR="00B362A6" w:rsidRPr="008A773A" w:rsidRDefault="00B362A6" w:rsidP="001738BC">
            <w:pPr>
              <w:rPr>
                <w:b/>
              </w:rPr>
            </w:pPr>
          </w:p>
          <w:p w:rsidR="00B362A6" w:rsidRPr="008A773A" w:rsidRDefault="00B362A6" w:rsidP="001738BC">
            <w:pPr>
              <w:rPr>
                <w:b/>
              </w:rPr>
            </w:pPr>
          </w:p>
        </w:tc>
      </w:tr>
      <w:tr w:rsidR="00B362A6" w:rsidRPr="0092036D" w:rsidTr="004F5D4D">
        <w:trPr>
          <w:trHeight w:val="1940"/>
        </w:trPr>
        <w:tc>
          <w:tcPr>
            <w:tcW w:w="1413" w:type="dxa"/>
            <w:shd w:val="clear" w:color="auto" w:fill="F2F2F2" w:themeFill="background1" w:themeFillShade="F2"/>
          </w:tcPr>
          <w:p w:rsidR="00B362A6" w:rsidRPr="00376C39" w:rsidRDefault="00B362A6" w:rsidP="00556893">
            <w:pPr>
              <w:rPr>
                <w:b/>
              </w:rPr>
            </w:pPr>
            <w:r w:rsidRPr="00376C39">
              <w:rPr>
                <w:b/>
              </w:rPr>
              <w:t>Kommentar</w:t>
            </w:r>
          </w:p>
        </w:tc>
        <w:tc>
          <w:tcPr>
            <w:tcW w:w="1417" w:type="dxa"/>
            <w:tcBorders>
              <w:right w:val="single" w:sz="4" w:space="0" w:color="auto"/>
            </w:tcBorders>
          </w:tcPr>
          <w:p w:rsidR="00B362A6" w:rsidRPr="00376C39" w:rsidRDefault="00B362A6" w:rsidP="00556893">
            <w:r>
              <w:t xml:space="preserve">Minimum 3 dager før utlysning må tekst sendes </w:t>
            </w:r>
            <w:proofErr w:type="spellStart"/>
            <w:r>
              <w:t>fagorg</w:t>
            </w:r>
            <w:proofErr w:type="spellEnd"/>
            <w:r>
              <w:t>.</w:t>
            </w:r>
          </w:p>
        </w:tc>
        <w:tc>
          <w:tcPr>
            <w:tcW w:w="1418" w:type="dxa"/>
            <w:tcBorders>
              <w:top w:val="nil"/>
              <w:left w:val="single" w:sz="4" w:space="0" w:color="auto"/>
              <w:right w:val="single" w:sz="4" w:space="0" w:color="auto"/>
            </w:tcBorders>
          </w:tcPr>
          <w:p w:rsidR="00B362A6" w:rsidRPr="0092036D" w:rsidRDefault="00B362A6" w:rsidP="00556893">
            <w:pPr>
              <w:rPr>
                <w:b/>
              </w:rPr>
            </w:pPr>
          </w:p>
        </w:tc>
        <w:tc>
          <w:tcPr>
            <w:tcW w:w="2126" w:type="dxa"/>
            <w:tcBorders>
              <w:left w:val="single" w:sz="4" w:space="0" w:color="auto"/>
            </w:tcBorders>
          </w:tcPr>
          <w:p w:rsidR="00B362A6" w:rsidRDefault="00B362A6" w:rsidP="005312C0">
            <w:r>
              <w:t xml:space="preserve">Vurdering </w:t>
            </w:r>
            <w:r w:rsidRPr="00180D28">
              <w:t>habilitet</w:t>
            </w:r>
          </w:p>
          <w:p w:rsidR="00B362A6" w:rsidRDefault="00B362A6" w:rsidP="005312C0">
            <w:r>
              <w:t>Tilbud om orientering om sakkyndigarbeid/</w:t>
            </w:r>
          </w:p>
          <w:p w:rsidR="00B362A6" w:rsidRPr="00180D28" w:rsidRDefault="00B362A6" w:rsidP="005312C0">
            <w:r>
              <w:t>gjennomgang mal</w:t>
            </w:r>
          </w:p>
        </w:tc>
        <w:tc>
          <w:tcPr>
            <w:tcW w:w="1985" w:type="dxa"/>
            <w:tcBorders>
              <w:left w:val="single" w:sz="4" w:space="0" w:color="auto"/>
            </w:tcBorders>
          </w:tcPr>
          <w:p w:rsidR="00B362A6" w:rsidRPr="00180D28" w:rsidRDefault="00B362A6" w:rsidP="005312C0">
            <w:r>
              <w:t>Eventuelt validering av søkere til stipendiater</w:t>
            </w:r>
          </w:p>
        </w:tc>
        <w:tc>
          <w:tcPr>
            <w:tcW w:w="1134" w:type="dxa"/>
            <w:tcBorders>
              <w:left w:val="single" w:sz="4" w:space="0" w:color="auto"/>
            </w:tcBorders>
          </w:tcPr>
          <w:p w:rsidR="00B362A6" w:rsidRPr="00B362A6" w:rsidRDefault="00AA255C" w:rsidP="005312C0">
            <w:pPr>
              <w:rPr>
                <w:i/>
              </w:rPr>
            </w:pPr>
            <w:r>
              <w:rPr>
                <w:i/>
              </w:rPr>
              <w:t>Tilbud om orient.</w:t>
            </w:r>
            <w:r w:rsidR="00B362A6" w:rsidRPr="00B362A6">
              <w:rPr>
                <w:i/>
              </w:rPr>
              <w:t xml:space="preserve"> intervjuer/</w:t>
            </w:r>
            <w:proofErr w:type="spellStart"/>
            <w:r w:rsidR="00B362A6" w:rsidRPr="00B362A6">
              <w:rPr>
                <w:i/>
              </w:rPr>
              <w:t>intervjumal</w:t>
            </w:r>
            <w:proofErr w:type="spellEnd"/>
          </w:p>
        </w:tc>
        <w:tc>
          <w:tcPr>
            <w:tcW w:w="1275" w:type="dxa"/>
            <w:tcBorders>
              <w:left w:val="single" w:sz="4" w:space="0" w:color="auto"/>
            </w:tcBorders>
          </w:tcPr>
          <w:p w:rsidR="00B362A6" w:rsidRPr="0092036D" w:rsidRDefault="00B362A6" w:rsidP="005312C0">
            <w:pPr>
              <w:rPr>
                <w:b/>
              </w:rPr>
            </w:pPr>
          </w:p>
        </w:tc>
        <w:tc>
          <w:tcPr>
            <w:tcW w:w="1418" w:type="dxa"/>
            <w:tcBorders>
              <w:left w:val="single" w:sz="4" w:space="0" w:color="auto"/>
            </w:tcBorders>
          </w:tcPr>
          <w:p w:rsidR="00B362A6" w:rsidRPr="0092036D" w:rsidRDefault="00B362A6" w:rsidP="005312C0">
            <w:pPr>
              <w:rPr>
                <w:b/>
              </w:rPr>
            </w:pPr>
          </w:p>
        </w:tc>
        <w:tc>
          <w:tcPr>
            <w:tcW w:w="1276" w:type="dxa"/>
            <w:tcBorders>
              <w:left w:val="single" w:sz="4" w:space="0" w:color="auto"/>
            </w:tcBorders>
          </w:tcPr>
          <w:p w:rsidR="00B362A6" w:rsidRPr="0092036D" w:rsidRDefault="00B362A6" w:rsidP="005312C0">
            <w:pPr>
              <w:rPr>
                <w:b/>
              </w:rPr>
            </w:pPr>
          </w:p>
        </w:tc>
        <w:tc>
          <w:tcPr>
            <w:tcW w:w="1841" w:type="dxa"/>
            <w:vMerge/>
          </w:tcPr>
          <w:p w:rsidR="00B362A6" w:rsidRPr="0092036D" w:rsidRDefault="00B362A6" w:rsidP="005312C0">
            <w:pPr>
              <w:rPr>
                <w:b/>
              </w:rPr>
            </w:pPr>
          </w:p>
        </w:tc>
      </w:tr>
    </w:tbl>
    <w:p w:rsidR="001A141F" w:rsidRDefault="001A141F"/>
    <w:p w:rsidR="001A141F" w:rsidRPr="001A141F" w:rsidRDefault="001A141F" w:rsidP="001A141F"/>
    <w:p w:rsidR="001A141F" w:rsidRPr="001A141F" w:rsidRDefault="001A141F" w:rsidP="001A141F"/>
    <w:p w:rsidR="001A141F" w:rsidRPr="001A141F" w:rsidRDefault="001A141F" w:rsidP="001A141F"/>
    <w:p w:rsidR="001A141F" w:rsidRPr="001A141F" w:rsidRDefault="001A141F" w:rsidP="001A141F"/>
    <w:p w:rsidR="001A141F" w:rsidRPr="001A141F" w:rsidRDefault="001A141F" w:rsidP="001A141F"/>
    <w:p w:rsidR="001A141F" w:rsidRPr="001A141F" w:rsidRDefault="001A141F" w:rsidP="001A141F"/>
    <w:p w:rsidR="001A141F" w:rsidRPr="001A141F" w:rsidRDefault="001A141F" w:rsidP="001A141F"/>
    <w:p w:rsidR="005103E5" w:rsidRPr="001A141F" w:rsidRDefault="005103E5" w:rsidP="001A141F"/>
    <w:sectPr w:rsidR="005103E5" w:rsidRPr="001A141F" w:rsidSect="00B13D35">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61" w:rsidRDefault="004F5561" w:rsidP="004F5561">
      <w:pPr>
        <w:spacing w:after="0" w:line="240" w:lineRule="auto"/>
      </w:pPr>
      <w:r>
        <w:separator/>
      </w:r>
    </w:p>
  </w:endnote>
  <w:endnote w:type="continuationSeparator" w:id="0">
    <w:p w:rsidR="004F5561" w:rsidRDefault="004F5561" w:rsidP="004F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1F" w:rsidRPr="001A141F" w:rsidRDefault="001A141F">
    <w:pPr>
      <w:pStyle w:val="Footer"/>
      <w:rPr>
        <w:sz w:val="16"/>
        <w:szCs w:val="16"/>
      </w:rPr>
    </w:pPr>
    <w:r w:rsidRPr="001A141F">
      <w:rPr>
        <w:sz w:val="16"/>
        <w:szCs w:val="16"/>
      </w:rPr>
      <w:t>Mal</w:t>
    </w:r>
    <w:r>
      <w:rPr>
        <w:sz w:val="16"/>
        <w:szCs w:val="16"/>
      </w:rPr>
      <w:t xml:space="preserve"> - </w:t>
    </w:r>
    <w:r w:rsidRPr="001A141F">
      <w:rPr>
        <w:sz w:val="16"/>
        <w:szCs w:val="16"/>
      </w:rPr>
      <w:t>versjon 20.9.2018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61" w:rsidRDefault="004F5561" w:rsidP="004F5561">
      <w:pPr>
        <w:spacing w:after="0" w:line="240" w:lineRule="auto"/>
      </w:pPr>
      <w:r>
        <w:separator/>
      </w:r>
    </w:p>
  </w:footnote>
  <w:footnote w:type="continuationSeparator" w:id="0">
    <w:p w:rsidR="004F5561" w:rsidRDefault="004F5561" w:rsidP="004F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61" w:rsidRDefault="004F5561" w:rsidP="004F5561">
    <w:pPr>
      <w:pStyle w:val="Header"/>
      <w:jc w:val="right"/>
    </w:pPr>
    <w:r>
      <w:t xml:space="preserve">Saksnummer i </w:t>
    </w:r>
    <w:proofErr w:type="spellStart"/>
    <w:r>
      <w:t>ePhorte</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50F"/>
    <w:multiLevelType w:val="hybridMultilevel"/>
    <w:tmpl w:val="5A5016F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80D0311"/>
    <w:multiLevelType w:val="hybridMultilevel"/>
    <w:tmpl w:val="07A49B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662E70"/>
    <w:multiLevelType w:val="hybridMultilevel"/>
    <w:tmpl w:val="985EC59C"/>
    <w:lvl w:ilvl="0" w:tplc="04140001">
      <w:start w:val="1"/>
      <w:numFmt w:val="bullet"/>
      <w:lvlText w:val=""/>
      <w:lvlJc w:val="left"/>
      <w:pPr>
        <w:ind w:left="1485" w:hanging="360"/>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3" w15:restartNumberingAfterBreak="0">
    <w:nsid w:val="1C7618B9"/>
    <w:multiLevelType w:val="hybridMultilevel"/>
    <w:tmpl w:val="EC0ACC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272DC4"/>
    <w:multiLevelType w:val="hybridMultilevel"/>
    <w:tmpl w:val="F8EACF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1C67D3"/>
    <w:multiLevelType w:val="hybridMultilevel"/>
    <w:tmpl w:val="E9060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971232"/>
    <w:multiLevelType w:val="hybridMultilevel"/>
    <w:tmpl w:val="11BCD1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9985A42"/>
    <w:multiLevelType w:val="hybridMultilevel"/>
    <w:tmpl w:val="B5366E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5AC639E8"/>
    <w:multiLevelType w:val="hybridMultilevel"/>
    <w:tmpl w:val="5F1ACE1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5AC744C3"/>
    <w:multiLevelType w:val="hybridMultilevel"/>
    <w:tmpl w:val="7A908A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AD41FAF"/>
    <w:multiLevelType w:val="hybridMultilevel"/>
    <w:tmpl w:val="8FAA05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FB676EF"/>
    <w:multiLevelType w:val="hybridMultilevel"/>
    <w:tmpl w:val="F578C5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8687A26"/>
    <w:multiLevelType w:val="hybridMultilevel"/>
    <w:tmpl w:val="70B682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4"/>
  </w:num>
  <w:num w:numId="5">
    <w:abstractNumId w:val="3"/>
  </w:num>
  <w:num w:numId="6">
    <w:abstractNumId w:val="6"/>
  </w:num>
  <w:num w:numId="7">
    <w:abstractNumId w:val="10"/>
  </w:num>
  <w:num w:numId="8">
    <w:abstractNumId w:val="12"/>
  </w:num>
  <w:num w:numId="9">
    <w:abstractNumId w:val="9"/>
  </w:num>
  <w:num w:numId="10">
    <w:abstractNumId w:val="2"/>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E5"/>
    <w:rsid w:val="00007A49"/>
    <w:rsid w:val="00075AEF"/>
    <w:rsid w:val="000D5234"/>
    <w:rsid w:val="001131DD"/>
    <w:rsid w:val="0013022D"/>
    <w:rsid w:val="001738BC"/>
    <w:rsid w:val="00180D28"/>
    <w:rsid w:val="001A141F"/>
    <w:rsid w:val="001A3469"/>
    <w:rsid w:val="00213527"/>
    <w:rsid w:val="002651DE"/>
    <w:rsid w:val="002A58A0"/>
    <w:rsid w:val="00350ABD"/>
    <w:rsid w:val="00376C39"/>
    <w:rsid w:val="004061DC"/>
    <w:rsid w:val="00415C7F"/>
    <w:rsid w:val="004E5437"/>
    <w:rsid w:val="004F5561"/>
    <w:rsid w:val="004F5D4D"/>
    <w:rsid w:val="005103E5"/>
    <w:rsid w:val="00520B70"/>
    <w:rsid w:val="005312C0"/>
    <w:rsid w:val="00546334"/>
    <w:rsid w:val="00556893"/>
    <w:rsid w:val="00572EC2"/>
    <w:rsid w:val="005A60AD"/>
    <w:rsid w:val="005E1F51"/>
    <w:rsid w:val="0063491C"/>
    <w:rsid w:val="00636C05"/>
    <w:rsid w:val="006C7C0E"/>
    <w:rsid w:val="00726080"/>
    <w:rsid w:val="00775B2A"/>
    <w:rsid w:val="007A39D7"/>
    <w:rsid w:val="008218F8"/>
    <w:rsid w:val="0089149A"/>
    <w:rsid w:val="008A773A"/>
    <w:rsid w:val="008B534D"/>
    <w:rsid w:val="0092036D"/>
    <w:rsid w:val="009372AC"/>
    <w:rsid w:val="00970008"/>
    <w:rsid w:val="00976C67"/>
    <w:rsid w:val="00993ADB"/>
    <w:rsid w:val="009A4F8C"/>
    <w:rsid w:val="00A22C37"/>
    <w:rsid w:val="00A413C0"/>
    <w:rsid w:val="00A4645C"/>
    <w:rsid w:val="00A93B96"/>
    <w:rsid w:val="00AA255C"/>
    <w:rsid w:val="00AD385C"/>
    <w:rsid w:val="00AD624C"/>
    <w:rsid w:val="00B1334B"/>
    <w:rsid w:val="00B13D35"/>
    <w:rsid w:val="00B362A6"/>
    <w:rsid w:val="00B72450"/>
    <w:rsid w:val="00B842BA"/>
    <w:rsid w:val="00BB6867"/>
    <w:rsid w:val="00BD4057"/>
    <w:rsid w:val="00C21195"/>
    <w:rsid w:val="00C731CF"/>
    <w:rsid w:val="00D16BA8"/>
    <w:rsid w:val="00D552F2"/>
    <w:rsid w:val="00D77D45"/>
    <w:rsid w:val="00DB70F3"/>
    <w:rsid w:val="00DD7981"/>
    <w:rsid w:val="00E0750F"/>
    <w:rsid w:val="00E11BDE"/>
    <w:rsid w:val="00E3344A"/>
    <w:rsid w:val="00F01084"/>
    <w:rsid w:val="00F2605E"/>
    <w:rsid w:val="00F77BCE"/>
    <w:rsid w:val="00F9349D"/>
    <w:rsid w:val="00F951A2"/>
    <w:rsid w:val="00FB23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9F04-801F-4698-9797-5712878E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44A"/>
    <w:pPr>
      <w:ind w:left="720"/>
      <w:contextualSpacing/>
    </w:pPr>
  </w:style>
  <w:style w:type="character" w:customStyle="1" w:styleId="mt2">
    <w:name w:val="mt2"/>
    <w:basedOn w:val="DefaultParagraphFont"/>
    <w:rsid w:val="00AD385C"/>
  </w:style>
  <w:style w:type="paragraph" w:styleId="Header">
    <w:name w:val="header"/>
    <w:basedOn w:val="Normal"/>
    <w:link w:val="HeaderChar"/>
    <w:uiPriority w:val="99"/>
    <w:unhideWhenUsed/>
    <w:rsid w:val="004F55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5561"/>
  </w:style>
  <w:style w:type="paragraph" w:styleId="Footer">
    <w:name w:val="footer"/>
    <w:basedOn w:val="Normal"/>
    <w:link w:val="FooterChar"/>
    <w:uiPriority w:val="99"/>
    <w:unhideWhenUsed/>
    <w:rsid w:val="004F55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5561"/>
  </w:style>
  <w:style w:type="paragraph" w:styleId="BalloonText">
    <w:name w:val="Balloon Text"/>
    <w:basedOn w:val="Normal"/>
    <w:link w:val="BalloonTextChar"/>
    <w:uiPriority w:val="99"/>
    <w:semiHidden/>
    <w:unhideWhenUsed/>
    <w:rsid w:val="004F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582F8B57.dotm</Template>
  <TotalTime>0</TotalTime>
  <Pages>2</Pages>
  <Words>562</Words>
  <Characters>2981</Characters>
  <Application>Microsoft Office Word</Application>
  <DocSecurity>4</DocSecurity>
  <Lines>24</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Vagtskjold</dc:creator>
  <cp:lastModifiedBy>Kristine Kleppan Blikra</cp:lastModifiedBy>
  <cp:revision>2</cp:revision>
  <cp:lastPrinted>2018-09-17T13:25:00Z</cp:lastPrinted>
  <dcterms:created xsi:type="dcterms:W3CDTF">2018-09-20T12:42:00Z</dcterms:created>
  <dcterms:modified xsi:type="dcterms:W3CDTF">2018-09-20T12:42:00Z</dcterms:modified>
</cp:coreProperties>
</file>